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DA" w:rsidRPr="00091F70" w:rsidRDefault="002D5912" w:rsidP="00091F70">
      <w:pPr>
        <w:spacing w:after="0" w:line="240" w:lineRule="auto"/>
        <w:jc w:val="center"/>
        <w:rPr>
          <w:lang w:val="ru-RU"/>
        </w:rPr>
      </w:pPr>
      <w:bookmarkStart w:id="0" w:name="block-3267661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.9pt;margin-top:-48.6pt;width:567.45pt;height:802pt;z-index:251660288">
            <v:imagedata r:id="rId5" o:title="Image_20241007_0004"/>
          </v:shape>
        </w:pict>
      </w:r>
      <w:r w:rsidR="00091F70" w:rsidRPr="00091F70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bookmarkStart w:id="1" w:name="84b34cd1-8907-4be2-9654-5e4d7c979c34"/>
      <w:r w:rsidRPr="00091F70">
        <w:rPr>
          <w:rFonts w:ascii="Times New Roman" w:hAnsi="Times New Roman"/>
          <w:color w:val="000000"/>
          <w:sz w:val="28"/>
          <w:lang w:val="ru-RU"/>
        </w:rPr>
        <w:t>Департамент образования и науки Чукотского автономного округа</w:t>
      </w:r>
      <w:bookmarkEnd w:id="1"/>
      <w:r w:rsidRPr="00091F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bookmarkStart w:id="2" w:name="74d6ab55-f73b-48d7-ba78-c30f74a03786"/>
      <w:r w:rsidRPr="00091F70">
        <w:rPr>
          <w:rFonts w:ascii="Times New Roman" w:hAnsi="Times New Roman"/>
          <w:color w:val="000000"/>
          <w:sz w:val="28"/>
          <w:lang w:val="ru-RU"/>
        </w:rPr>
        <w:t>Анадырский муниципальный район</w:t>
      </w:r>
      <w:bookmarkEnd w:id="2"/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r w:rsidRPr="00091F70">
        <w:rPr>
          <w:rFonts w:ascii="Times New Roman" w:hAnsi="Times New Roman"/>
          <w:color w:val="000000"/>
          <w:sz w:val="28"/>
          <w:lang w:val="ru-RU"/>
        </w:rPr>
        <w:t>МБОУ «Центр образования с.Усть-Белая»</w:t>
      </w: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091F70" w:rsidRPr="002D5912" w:rsidTr="00091F70">
        <w:tc>
          <w:tcPr>
            <w:tcW w:w="3114" w:type="dxa"/>
          </w:tcPr>
          <w:p w:rsidR="00091F70" w:rsidRPr="0040209D" w:rsidRDefault="00091F70" w:rsidP="00091F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1F70" w:rsidRPr="008944ED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1F70" w:rsidRPr="008944ED" w:rsidRDefault="00091F70" w:rsidP="00091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Григорьева И.А.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505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05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1F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1F70" w:rsidRPr="0040209D" w:rsidRDefault="00091F70" w:rsidP="00091F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1F70" w:rsidRPr="0040209D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1F70" w:rsidRPr="008944ED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УМР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1F70" w:rsidRPr="008944ED" w:rsidRDefault="00091F70" w:rsidP="00091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Ю.В.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505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1F70" w:rsidRPr="0040209D" w:rsidRDefault="00091F70" w:rsidP="00091F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1F70" w:rsidRPr="008944ED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"Центр образования с. Усть-Белая"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1F70" w:rsidRPr="008944ED" w:rsidRDefault="00505699" w:rsidP="00091F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Храмцова Н.Н.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05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137</w:t>
            </w:r>
          </w:p>
          <w:p w:rsidR="00091F70" w:rsidRDefault="00091F70" w:rsidP="00091F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1F70" w:rsidRPr="0040209D" w:rsidRDefault="00091F70" w:rsidP="00091F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Default="004569DA" w:rsidP="00091F70">
      <w:pPr>
        <w:spacing w:after="0" w:line="240" w:lineRule="auto"/>
        <w:rPr>
          <w:lang w:val="ru-RU"/>
        </w:rPr>
      </w:pPr>
    </w:p>
    <w:p w:rsidR="00091F70" w:rsidRDefault="00091F70" w:rsidP="00091F70">
      <w:pPr>
        <w:spacing w:after="0" w:line="240" w:lineRule="auto"/>
        <w:rPr>
          <w:lang w:val="ru-RU"/>
        </w:rPr>
      </w:pPr>
    </w:p>
    <w:p w:rsidR="00091F70" w:rsidRPr="00091F70" w:rsidRDefault="00091F70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r w:rsidRPr="00091F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r w:rsidRPr="00091F7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91F70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 (ФГОС ООО)</w:t>
      </w: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569DA" w:rsidRDefault="00091F70" w:rsidP="00091F70"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lang w:val="ru-RU"/>
        </w:rPr>
        <w:t xml:space="preserve">Количество часов: 5 кл. – 102ч., 6 кл. – 102ч., 7 кл. – 68ч., 8 кл. – 68ч., 9 кл. – 102ч. </w:t>
      </w:r>
    </w:p>
    <w:p w:rsidR="00091F70" w:rsidRPr="00091F70" w:rsidRDefault="00091F70" w:rsidP="00091F70">
      <w:pPr>
        <w:spacing w:after="0" w:line="240" w:lineRule="auto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Составитель: Кравцова Я.В., учитель русского языка и литературы</w:t>
      </w: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4569DA" w:rsidP="00091F70">
      <w:pPr>
        <w:spacing w:after="0" w:line="240" w:lineRule="auto"/>
        <w:jc w:val="center"/>
        <w:rPr>
          <w:lang w:val="ru-RU"/>
        </w:rPr>
      </w:pPr>
    </w:p>
    <w:p w:rsidR="004569DA" w:rsidRDefault="004569DA" w:rsidP="00091F70">
      <w:pPr>
        <w:spacing w:after="0" w:line="240" w:lineRule="auto"/>
        <w:jc w:val="center"/>
        <w:rPr>
          <w:lang w:val="ru-RU"/>
        </w:rPr>
      </w:pP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lang w:val="ru-RU"/>
        </w:rPr>
      </w:pPr>
      <w:bookmarkStart w:id="3" w:name="5ce1acce-c3fd-49bf-9494-1e3d1db3054e"/>
      <w:r w:rsidRPr="00091F70">
        <w:rPr>
          <w:rFonts w:ascii="Times New Roman" w:hAnsi="Times New Roman"/>
          <w:b/>
          <w:color w:val="000000"/>
          <w:sz w:val="28"/>
          <w:lang w:val="ru-RU"/>
        </w:rPr>
        <w:t>Усть-Белая</w:t>
      </w:r>
      <w:bookmarkEnd w:id="3"/>
      <w:r w:rsidRPr="00091F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091F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569DA" w:rsidRPr="00091F70" w:rsidRDefault="004569DA" w:rsidP="00091F70">
      <w:pPr>
        <w:spacing w:after="0" w:line="240" w:lineRule="auto"/>
        <w:rPr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5" w:name="block-32676619"/>
      <w:bookmarkEnd w:id="0"/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91F7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091F7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91F7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«ЛИТЕРАТУРА» В УЧЕБНОМ ПЛАНЕ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569DA" w:rsidRPr="00091F70" w:rsidRDefault="004569DA" w:rsidP="00091F70">
      <w:pPr>
        <w:spacing w:after="0" w:line="240" w:lineRule="auto"/>
        <w:rPr>
          <w:sz w:val="24"/>
          <w:szCs w:val="24"/>
          <w:lang w:val="ru-RU"/>
        </w:rPr>
        <w:sectPr w:rsidR="004569DA" w:rsidRPr="00091F70">
          <w:pgSz w:w="11906" w:h="16383"/>
          <w:pgMar w:top="1134" w:right="850" w:bottom="1134" w:left="1701" w:header="720" w:footer="720" w:gutter="0"/>
          <w:cols w:space="720"/>
        </w:sect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6" w:name="block-32676620"/>
      <w:bookmarkEnd w:id="5"/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569DA" w:rsidRPr="00091F70" w:rsidRDefault="004569DA" w:rsidP="00091F7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69DA" w:rsidRPr="00091F70" w:rsidRDefault="004569DA" w:rsidP="00091F7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>«Песня соловья»; М. Карим. «Эту песню мать мне пела».</w:t>
      </w:r>
      <w:bookmarkEnd w:id="19"/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Х. К. Андерсен.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>«Хоббит, или Туда и обратно» (главы по выбору).</w:t>
      </w:r>
      <w:bookmarkEnd w:id="21"/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 xml:space="preserve">«Илиада», «Одиссея» (фрагменты).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091F70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2D5912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5912">
        <w:rPr>
          <w:rFonts w:ascii="Times New Roman" w:hAnsi="Times New Roman"/>
          <w:color w:val="000000"/>
          <w:sz w:val="24"/>
          <w:szCs w:val="24"/>
          <w:lang w:val="ru-RU"/>
        </w:rPr>
        <w:t>Роман «Дубровский».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5912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D591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2D591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2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091F7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91F70">
        <w:rPr>
          <w:sz w:val="24"/>
          <w:szCs w:val="24"/>
          <w:lang w:val="ru-RU"/>
        </w:rPr>
        <w:br/>
      </w:r>
      <w:bookmarkStart w:id="36" w:name="5118f498-9661-45e8-9924-bef67bfbf524"/>
      <w:bookmarkEnd w:id="36"/>
    </w:p>
    <w:p w:rsidR="004569DA" w:rsidRPr="00091F70" w:rsidRDefault="00091F70" w:rsidP="00091F70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91F70">
        <w:rPr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8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43"/>
    </w:p>
    <w:p w:rsidR="004569DA" w:rsidRPr="00505699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091F70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48"/>
      <w:r w:rsidRPr="00091F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М. Е. Салтыков-Щедрин.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505699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7" w:name="4c3792f6-c508-448f-810f-0a4e7935e4da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>«Дары волхвов», «Последний лист».</w:t>
      </w:r>
      <w:bookmarkEnd w:id="67"/>
      <w:r w:rsidRPr="005056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С. Пушкин.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091F70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91F70">
        <w:rPr>
          <w:sz w:val="24"/>
          <w:szCs w:val="24"/>
          <w:lang w:val="ru-RU"/>
        </w:rPr>
        <w:br/>
      </w:r>
      <w:bookmarkStart w:id="77" w:name="464a1461-dc27-4c8e-855e-7a4d0048dab5"/>
      <w:bookmarkEnd w:id="77"/>
    </w:p>
    <w:p w:rsidR="00091F70" w:rsidRDefault="00091F70" w:rsidP="00091F7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</w:p>
    <w:p w:rsidR="004569DA" w:rsidRPr="00091F70" w:rsidRDefault="004569DA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8" w:name="adb853ee-930d-4a27-923a-b9cb0245de5e"/>
      <w:bookmarkEnd w:id="78"/>
    </w:p>
    <w:p w:rsidR="004569DA" w:rsidRPr="00091F70" w:rsidRDefault="00091F70" w:rsidP="00091F70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Н. М. Карамзин.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091F7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4569DA" w:rsidRPr="00091F70" w:rsidRDefault="004569DA" w:rsidP="00091F70">
      <w:pPr>
        <w:spacing w:after="0" w:line="240" w:lineRule="auto"/>
        <w:rPr>
          <w:sz w:val="24"/>
          <w:szCs w:val="24"/>
          <w:lang w:val="ru-RU"/>
        </w:rPr>
        <w:sectPr w:rsidR="004569DA" w:rsidRPr="00091F70">
          <w:pgSz w:w="11906" w:h="16383"/>
          <w:pgMar w:top="1134" w:right="850" w:bottom="1134" w:left="1701" w:header="720" w:footer="720" w:gutter="0"/>
          <w:cols w:space="720"/>
        </w:sect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94" w:name="block-32676615"/>
      <w:bookmarkEnd w:id="6"/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4569DA" w:rsidRPr="00091F70" w:rsidRDefault="00091F70" w:rsidP="00091F7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4569DA" w:rsidRPr="00091F70" w:rsidRDefault="00091F70" w:rsidP="00091F7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569DA" w:rsidRPr="00091F70" w:rsidRDefault="00091F70" w:rsidP="00091F7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569DA" w:rsidRPr="00091F70" w:rsidRDefault="00091F70" w:rsidP="00091F7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569DA" w:rsidRPr="00091F70" w:rsidRDefault="00091F70" w:rsidP="00091F70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569DA" w:rsidRPr="00091F70" w:rsidRDefault="00091F70" w:rsidP="00091F70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569DA" w:rsidRPr="00091F70" w:rsidRDefault="00091F70" w:rsidP="00091F70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569DA" w:rsidRPr="00091F70" w:rsidRDefault="00091F70" w:rsidP="00091F7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569DA" w:rsidRPr="00091F70" w:rsidRDefault="00091F70" w:rsidP="00091F7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569DA" w:rsidRPr="00091F70" w:rsidRDefault="00091F70" w:rsidP="00091F7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569DA" w:rsidRPr="00091F70" w:rsidRDefault="00091F70" w:rsidP="00091F7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4569DA" w:rsidRPr="00091F70" w:rsidRDefault="00091F70" w:rsidP="00091F7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адаптироваться в профессиональной среде; 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569DA" w:rsidRPr="00091F70" w:rsidRDefault="00091F70" w:rsidP="00091F7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569DA" w:rsidRPr="00091F70" w:rsidRDefault="00091F70" w:rsidP="00091F7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569DA" w:rsidRPr="00091F70" w:rsidRDefault="00091F70" w:rsidP="00091F7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569DA" w:rsidRPr="00091F70" w:rsidRDefault="00091F70" w:rsidP="00091F7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569DA" w:rsidRPr="00091F70" w:rsidRDefault="00091F70" w:rsidP="00091F7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569DA" w:rsidRPr="00091F70" w:rsidRDefault="00091F70" w:rsidP="00091F7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569DA" w:rsidRPr="00091F70" w:rsidRDefault="00091F70" w:rsidP="00091F7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569DA" w:rsidRPr="00091F70" w:rsidRDefault="00091F70" w:rsidP="00091F7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4569DA" w:rsidRPr="00091F70" w:rsidRDefault="00091F70" w:rsidP="00091F7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569DA" w:rsidRPr="00091F70" w:rsidRDefault="00091F70" w:rsidP="00091F7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анализировать и выявлять взаимосвязи природы, общества и экономики;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569DA" w:rsidRPr="00091F70" w:rsidRDefault="00091F70" w:rsidP="00091F7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4569DA" w:rsidRPr="00091F70" w:rsidRDefault="00091F70" w:rsidP="00091F7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4569DA" w:rsidRPr="00091F70" w:rsidRDefault="00091F70" w:rsidP="00091F7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569DA" w:rsidRPr="00091F70" w:rsidRDefault="00091F70" w:rsidP="00091F7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569DA" w:rsidRPr="00091F70" w:rsidRDefault="00091F70" w:rsidP="00091F7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4569DA" w:rsidRPr="00091F70" w:rsidRDefault="00091F70" w:rsidP="00091F7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569DA" w:rsidRPr="00091F70" w:rsidRDefault="00091F70" w:rsidP="00091F7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569DA" w:rsidRPr="00091F70" w:rsidRDefault="00091F70" w:rsidP="00091F7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69DA" w:rsidRPr="00091F70" w:rsidRDefault="00091F70" w:rsidP="00091F7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69DA" w:rsidRPr="00091F70" w:rsidRDefault="00091F70" w:rsidP="00091F7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569DA" w:rsidRPr="00091F70" w:rsidRDefault="00091F70" w:rsidP="00091F7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4569DA" w:rsidRPr="00091F70" w:rsidRDefault="00091F70" w:rsidP="00091F7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569DA" w:rsidRPr="00091F70" w:rsidRDefault="00091F70" w:rsidP="00091F7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69DA" w:rsidRPr="00091F70" w:rsidRDefault="00091F70" w:rsidP="00091F7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569DA" w:rsidRPr="00091F70" w:rsidRDefault="00091F70" w:rsidP="00091F7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4569DA" w:rsidRPr="00091F70" w:rsidRDefault="00091F70" w:rsidP="00091F7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569DA" w:rsidRPr="00091F70" w:rsidRDefault="00091F70" w:rsidP="00091F7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569DA" w:rsidRPr="00091F70" w:rsidRDefault="00091F70" w:rsidP="00091F7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569DA" w:rsidRPr="00091F70" w:rsidRDefault="00091F70" w:rsidP="00091F7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4569DA" w:rsidRPr="00091F70" w:rsidRDefault="00091F70" w:rsidP="00091F7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569DA" w:rsidRPr="00091F70" w:rsidRDefault="00091F70" w:rsidP="00091F7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569DA" w:rsidRPr="00091F70" w:rsidRDefault="00091F70" w:rsidP="00091F7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4569DA" w:rsidRPr="00091F70" w:rsidRDefault="00091F70" w:rsidP="00091F7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569DA" w:rsidRPr="00091F70" w:rsidRDefault="00091F70" w:rsidP="00091F70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569DA" w:rsidRPr="00091F70" w:rsidRDefault="00091F70" w:rsidP="00091F70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569DA" w:rsidRPr="00091F70" w:rsidRDefault="00091F70" w:rsidP="00091F70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4569DA" w:rsidRPr="00091F70" w:rsidRDefault="00091F70" w:rsidP="00091F70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569DA" w:rsidRPr="00091F70" w:rsidRDefault="00091F70" w:rsidP="00091F70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569DA" w:rsidRPr="00091F70" w:rsidRDefault="00091F70" w:rsidP="00091F70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569DA" w:rsidRPr="00091F70" w:rsidRDefault="00091F70" w:rsidP="00091F70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569DA" w:rsidRPr="00091F70" w:rsidRDefault="00091F70" w:rsidP="00091F70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569DA" w:rsidRPr="00091F70" w:rsidRDefault="00091F70" w:rsidP="00091F70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569DA" w:rsidRPr="00091F70" w:rsidRDefault="00091F70" w:rsidP="00091F70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</w:t>
      </w: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569DA" w:rsidRPr="00091F70" w:rsidRDefault="00091F70" w:rsidP="00091F70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569DA" w:rsidRPr="00091F70" w:rsidRDefault="00091F70" w:rsidP="00091F70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569DA" w:rsidRPr="00091F70" w:rsidRDefault="00091F70" w:rsidP="00091F70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569DA" w:rsidRPr="00091F70" w:rsidRDefault="00091F70" w:rsidP="00091F70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69DA" w:rsidRPr="00091F70" w:rsidRDefault="00091F70" w:rsidP="00091F70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569DA" w:rsidRPr="00091F70" w:rsidRDefault="004569DA" w:rsidP="00091F7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569DA" w:rsidRPr="00091F70" w:rsidRDefault="00091F70" w:rsidP="00091F70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569DA" w:rsidRPr="00091F70" w:rsidRDefault="00091F70" w:rsidP="00091F7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F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569DA" w:rsidRPr="00091F70" w:rsidRDefault="004569DA" w:rsidP="00091F70">
      <w:pPr>
        <w:spacing w:after="0" w:line="240" w:lineRule="auto"/>
        <w:rPr>
          <w:lang w:val="ru-RU"/>
        </w:rPr>
        <w:sectPr w:rsidR="004569DA" w:rsidRPr="00091F70">
          <w:pgSz w:w="11906" w:h="16383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</w:pPr>
      <w:bookmarkStart w:id="95" w:name="block-32676616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91F70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708"/>
        <w:gridCol w:w="1535"/>
        <w:gridCol w:w="1706"/>
        <w:gridCol w:w="1787"/>
        <w:gridCol w:w="2689"/>
      </w:tblGrid>
      <w:tr w:rsidR="004569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выбору).Например, «Корова», «Никита» и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768"/>
        <w:gridCol w:w="1496"/>
        <w:gridCol w:w="1706"/>
        <w:gridCol w:w="1775"/>
        <w:gridCol w:w="2689"/>
      </w:tblGrid>
      <w:tr w:rsidR="004569D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661"/>
        <w:gridCol w:w="1563"/>
        <w:gridCol w:w="1719"/>
        <w:gridCol w:w="1805"/>
        <w:gridCol w:w="2694"/>
      </w:tblGrid>
      <w:tr w:rsidR="004569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685"/>
        <w:gridCol w:w="1548"/>
        <w:gridCol w:w="1709"/>
        <w:gridCol w:w="1796"/>
        <w:gridCol w:w="2689"/>
      </w:tblGrid>
      <w:tr w:rsidR="004569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505699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505699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505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Рассказ «Судьба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708"/>
        <w:gridCol w:w="1535"/>
        <w:gridCol w:w="1706"/>
        <w:gridCol w:w="1787"/>
        <w:gridCol w:w="2702"/>
      </w:tblGrid>
      <w:tr w:rsidR="004569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BD7D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D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BD7D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D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569DA" w:rsidRPr="00BD7DFD" w:rsidRDefault="00091F70" w:rsidP="00BD7DF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D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6" w:name="block-3267661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p w:rsidR="004569DA" w:rsidRDefault="00091F70" w:rsidP="00091F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91F70" w:rsidRPr="00091F70" w:rsidRDefault="00091F70" w:rsidP="00091F7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487"/>
        <w:gridCol w:w="1271"/>
        <w:gridCol w:w="1706"/>
        <w:gridCol w:w="1775"/>
        <w:gridCol w:w="1212"/>
        <w:gridCol w:w="2726"/>
      </w:tblGrid>
      <w:tr w:rsidR="004569D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91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jc w:val="center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4569DA" w:rsidP="00091F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4569DA" w:rsidP="00091F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A37C89" w:rsidRDefault="00A37C89" w:rsidP="00091F70">
            <w:pPr>
              <w:spacing w:after="0" w:line="240" w:lineRule="auto"/>
              <w:rPr>
                <w:b/>
                <w:lang w:val="ru-RU"/>
              </w:rPr>
            </w:pPr>
            <w:r w:rsidRPr="00A3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А.И.Куприна, М.М.Пришвина,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A37C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A37C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7C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154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154EA3" w:rsidRPr="00154EA3" w:rsidRDefault="00154EA3" w:rsidP="00154EA3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566"/>
        <w:gridCol w:w="1239"/>
        <w:gridCol w:w="1706"/>
        <w:gridCol w:w="1775"/>
        <w:gridCol w:w="1212"/>
        <w:gridCol w:w="2726"/>
      </w:tblGrid>
      <w:tr w:rsidR="004569D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154EA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154EA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богатыри в изобразительном искусстве</w:t>
            </w:r>
            <w:r w:rsidR="0015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4EA3" w:rsidRPr="00154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091F70" w:rsidP="00091F70">
            <w:pPr>
              <w:spacing w:after="0" w:line="240" w:lineRule="auto"/>
              <w:jc w:val="center"/>
              <w:rPr>
                <w:lang w:val="ru-RU"/>
              </w:rPr>
            </w:pPr>
            <w:r w:rsidRPr="00154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154EA3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4569DA" w:rsidP="00091F70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4569DA" w:rsidP="00091F7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4569DA" w:rsidP="00091F70">
            <w:pPr>
              <w:spacing w:after="0" w:line="240" w:lineRule="auto"/>
              <w:rPr>
                <w:lang w:val="ru-RU"/>
              </w:rPr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091F70" w:rsidP="00091F70">
            <w:pPr>
              <w:spacing w:after="0" w:line="240" w:lineRule="auto"/>
              <w:rPr>
                <w:lang w:val="ru-RU"/>
              </w:rPr>
            </w:pPr>
            <w:r w:rsidRPr="00154EA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особенности. Летопись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154EA3" w:rsidRDefault="00154EA3" w:rsidP="00091F70">
            <w:pPr>
              <w:spacing w:after="0" w:line="240" w:lineRule="auto"/>
              <w:rPr>
                <w:b/>
                <w:lang w:val="ru-RU"/>
              </w:rPr>
            </w:pPr>
            <w:r w:rsidRPr="00154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 А. И. Куприн. Рассказ «Чудесный доктор». Смысл названия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154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69DA" w:rsidRDefault="00154EA3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1F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4B4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4B447A" w:rsidRPr="004B447A" w:rsidRDefault="004B447A" w:rsidP="004B447A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4194"/>
        <w:gridCol w:w="1174"/>
        <w:gridCol w:w="1706"/>
        <w:gridCol w:w="1775"/>
        <w:gridCol w:w="1212"/>
        <w:gridCol w:w="3233"/>
      </w:tblGrid>
      <w:tr w:rsidR="004569D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  <w:p w:rsidR="004B447A" w:rsidRPr="004B447A" w:rsidRDefault="004B447A" w:rsidP="00091F70">
            <w:pPr>
              <w:spacing w:after="0" w:line="240" w:lineRule="auto"/>
              <w:rPr>
                <w:b/>
                <w:lang w:val="ru-RU"/>
              </w:rPr>
            </w:pPr>
            <w:r w:rsidRPr="004B4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Pr="004B447A" w:rsidRDefault="004B447A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4B4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Тараса Бульбы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BD0F63" w:rsidRDefault="00BD0F63" w:rsidP="00091F70">
            <w:pPr>
              <w:spacing w:after="0" w:line="240" w:lineRule="auto"/>
              <w:rPr>
                <w:b/>
                <w:lang w:val="ru-RU"/>
              </w:rPr>
            </w:pPr>
            <w:r w:rsidRPr="00BD0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контрольная </w:t>
            </w:r>
            <w:r w:rsidRPr="00BD0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Pr="00BD0F63" w:rsidRDefault="00BD0F63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BD0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Pr="00BD0F63" w:rsidRDefault="00BD0F63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69DA" w:rsidRDefault="00BD0F63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1F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5514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514F7" w:rsidRPr="005514F7" w:rsidRDefault="005514F7" w:rsidP="005514F7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4692"/>
        <w:gridCol w:w="1171"/>
        <w:gridCol w:w="1706"/>
        <w:gridCol w:w="1775"/>
        <w:gridCol w:w="1212"/>
        <w:gridCol w:w="2726"/>
      </w:tblGrid>
      <w:tr w:rsidR="004569DA" w:rsidTr="005514F7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  <w:p w:rsidR="005514F7" w:rsidRPr="005514F7" w:rsidRDefault="005514F7" w:rsidP="00091F70">
            <w:pPr>
              <w:spacing w:after="0" w:line="240" w:lineRule="auto"/>
              <w:rPr>
                <w:b/>
                <w:lang w:val="ru-RU"/>
              </w:rPr>
            </w:pPr>
            <w:r w:rsidRPr="00551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Pr="005514F7" w:rsidRDefault="005514F7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Поэма "Мцыри" в изобразительном искусстве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551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</w:t>
            </w:r>
            <w:r w:rsidR="00091F70" w:rsidRPr="00551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работа.</w:t>
            </w:r>
            <w:r w:rsidR="00091F70"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</w:t>
            </w:r>
            <w:r w:rsidR="00091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091F70"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Pr="005514F7" w:rsidRDefault="00091F70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569DA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666837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4F7" w:rsidRPr="00091F70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666837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666837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666837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666837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666837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465634">
            <w:pPr>
              <w:spacing w:after="0" w:line="240" w:lineRule="auto"/>
              <w:rPr>
                <w:lang w:val="ru-RU"/>
              </w:rPr>
            </w:pPr>
            <w:r w:rsidRPr="00551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465634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Pr="005514F7" w:rsidRDefault="005514F7" w:rsidP="0046563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465634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465634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465634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14F7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14F7" w:rsidRPr="002D5912" w:rsidTr="005514F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4F7" w:rsidTr="005514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4F7" w:rsidRPr="00091F70" w:rsidRDefault="005514F7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14F7" w:rsidRPr="008529AE" w:rsidRDefault="005514F7" w:rsidP="008529A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9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4F7" w:rsidRDefault="005514F7" w:rsidP="00091F70">
            <w:pPr>
              <w:spacing w:after="0" w:line="240" w:lineRule="auto"/>
            </w:pPr>
          </w:p>
        </w:tc>
      </w:tr>
    </w:tbl>
    <w:p w:rsidR="004569DA" w:rsidRDefault="004569DA" w:rsidP="00091F70">
      <w:pPr>
        <w:spacing w:after="0" w:line="240" w:lineRule="auto"/>
        <w:sectPr w:rsidR="00456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9DA" w:rsidRDefault="00091F70" w:rsidP="00852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8529AE" w:rsidRPr="008529AE" w:rsidRDefault="008529AE" w:rsidP="008529AE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250"/>
        <w:gridCol w:w="1706"/>
        <w:gridCol w:w="1775"/>
        <w:gridCol w:w="1212"/>
        <w:gridCol w:w="2726"/>
      </w:tblGrid>
      <w:tr w:rsidR="004569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BD7DFD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Pr="00BD7DFD" w:rsidRDefault="00BD7DFD" w:rsidP="00091F7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творчество.Поэтическое новаторство А.С.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7DFD" w:rsidRDefault="00091F70" w:rsidP="00091F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</w:p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7DFD" w:rsidRPr="00BD7DFD" w:rsidRDefault="00BD7DFD" w:rsidP="00091F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D7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</w:t>
            </w:r>
            <w:r w:rsidR="00091F70" w:rsidRPr="00BD7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контрольная работа </w:t>
            </w:r>
          </w:p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BD7D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9DA" w:rsidRPr="002D59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9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tr w:rsidR="0045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Pr="00091F70" w:rsidRDefault="00091F70" w:rsidP="00091F70">
            <w:pPr>
              <w:spacing w:after="0" w:line="240" w:lineRule="auto"/>
              <w:rPr>
                <w:lang w:val="ru-RU"/>
              </w:rPr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 w:rsidRPr="00091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69DA" w:rsidRDefault="00BD7DFD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1F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69DA" w:rsidRDefault="00091F70" w:rsidP="00091F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9DA" w:rsidRDefault="004569DA" w:rsidP="00091F70">
            <w:pPr>
              <w:spacing w:after="0" w:line="240" w:lineRule="auto"/>
            </w:pPr>
          </w:p>
        </w:tc>
      </w:tr>
      <w:bookmarkEnd w:id="96"/>
    </w:tbl>
    <w:p w:rsidR="00091F70" w:rsidRPr="00091F70" w:rsidRDefault="00091F70" w:rsidP="00091F70">
      <w:pPr>
        <w:spacing w:after="0" w:line="240" w:lineRule="auto"/>
        <w:rPr>
          <w:lang w:val="ru-RU"/>
        </w:rPr>
      </w:pPr>
    </w:p>
    <w:sectPr w:rsidR="00091F70" w:rsidRPr="00091F70" w:rsidSect="00BD7DFD">
      <w:pgSz w:w="16383" w:h="11906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ECB"/>
    <w:multiLevelType w:val="multilevel"/>
    <w:tmpl w:val="A384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C63EE"/>
    <w:multiLevelType w:val="multilevel"/>
    <w:tmpl w:val="C51C5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A5E19"/>
    <w:multiLevelType w:val="multilevel"/>
    <w:tmpl w:val="7F3C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35B6D"/>
    <w:multiLevelType w:val="multilevel"/>
    <w:tmpl w:val="41885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51E58"/>
    <w:multiLevelType w:val="multilevel"/>
    <w:tmpl w:val="B8CA9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40C88"/>
    <w:multiLevelType w:val="multilevel"/>
    <w:tmpl w:val="D7E4B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65998"/>
    <w:multiLevelType w:val="multilevel"/>
    <w:tmpl w:val="C7A6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B4567"/>
    <w:multiLevelType w:val="multilevel"/>
    <w:tmpl w:val="927A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A1BB7"/>
    <w:multiLevelType w:val="multilevel"/>
    <w:tmpl w:val="D76A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65953"/>
    <w:multiLevelType w:val="multilevel"/>
    <w:tmpl w:val="175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A2DDE"/>
    <w:multiLevelType w:val="multilevel"/>
    <w:tmpl w:val="CB0E6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724BB"/>
    <w:multiLevelType w:val="multilevel"/>
    <w:tmpl w:val="8898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E5BA5"/>
    <w:multiLevelType w:val="multilevel"/>
    <w:tmpl w:val="14B4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47E41"/>
    <w:multiLevelType w:val="multilevel"/>
    <w:tmpl w:val="AA6E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20C59"/>
    <w:multiLevelType w:val="multilevel"/>
    <w:tmpl w:val="BF688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FF0315"/>
    <w:multiLevelType w:val="multilevel"/>
    <w:tmpl w:val="EFB0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9E3D74"/>
    <w:multiLevelType w:val="multilevel"/>
    <w:tmpl w:val="AF361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20C8F"/>
    <w:multiLevelType w:val="multilevel"/>
    <w:tmpl w:val="D6227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A45047"/>
    <w:multiLevelType w:val="multilevel"/>
    <w:tmpl w:val="129E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F021B4"/>
    <w:multiLevelType w:val="multilevel"/>
    <w:tmpl w:val="5F36F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A229A9"/>
    <w:multiLevelType w:val="multilevel"/>
    <w:tmpl w:val="CEC27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EA39C2"/>
    <w:multiLevelType w:val="multilevel"/>
    <w:tmpl w:val="3450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991D6D"/>
    <w:multiLevelType w:val="hybridMultilevel"/>
    <w:tmpl w:val="38CA2B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741109D6"/>
    <w:multiLevelType w:val="multilevel"/>
    <w:tmpl w:val="EF88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23"/>
  </w:num>
  <w:num w:numId="8">
    <w:abstractNumId w:val="12"/>
  </w:num>
  <w:num w:numId="9">
    <w:abstractNumId w:val="18"/>
  </w:num>
  <w:num w:numId="10">
    <w:abstractNumId w:val="11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21"/>
  </w:num>
  <w:num w:numId="16">
    <w:abstractNumId w:val="13"/>
  </w:num>
  <w:num w:numId="17">
    <w:abstractNumId w:val="2"/>
  </w:num>
  <w:num w:numId="18">
    <w:abstractNumId w:val="20"/>
  </w:num>
  <w:num w:numId="19">
    <w:abstractNumId w:val="7"/>
  </w:num>
  <w:num w:numId="20">
    <w:abstractNumId w:val="17"/>
  </w:num>
  <w:num w:numId="21">
    <w:abstractNumId w:val="3"/>
  </w:num>
  <w:num w:numId="22">
    <w:abstractNumId w:val="16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569DA"/>
    <w:rsid w:val="00091F70"/>
    <w:rsid w:val="00154EA3"/>
    <w:rsid w:val="002D5912"/>
    <w:rsid w:val="004569DA"/>
    <w:rsid w:val="004B447A"/>
    <w:rsid w:val="00505699"/>
    <w:rsid w:val="005514F7"/>
    <w:rsid w:val="008529AE"/>
    <w:rsid w:val="00A37C89"/>
    <w:rsid w:val="00BD0F63"/>
    <w:rsid w:val="00BD7DFD"/>
    <w:rsid w:val="00C648FA"/>
    <w:rsid w:val="00E9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9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91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e55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97</Pages>
  <Words>26940</Words>
  <Characters>153560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12</cp:lastModifiedBy>
  <cp:revision>8</cp:revision>
  <dcterms:created xsi:type="dcterms:W3CDTF">2024-08-01T03:45:00Z</dcterms:created>
  <dcterms:modified xsi:type="dcterms:W3CDTF">2024-10-07T05:32:00Z</dcterms:modified>
</cp:coreProperties>
</file>